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pPr>
        <w:rPr>
          <w:i/>
        </w:rPr>
      </w:pPr>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B49">
        <w:rPr>
          <w:i/>
        </w:rPr>
        <w:t xml:space="preserve">Barbara </w:t>
      </w:r>
      <w:proofErr w:type="spellStart"/>
      <w:r w:rsidR="00905B49">
        <w:rPr>
          <w:i/>
        </w:rPr>
        <w:t>Strifler</w:t>
      </w:r>
      <w:proofErr w:type="spellEnd"/>
    </w:p>
    <w:p w:rsidR="00905B49" w:rsidRDefault="00905B49"/>
    <w:p w:rsidR="00AE2D3F" w:rsidRDefault="005564AF">
      <w:pPr>
        <w:rPr>
          <w:b/>
          <w:sz w:val="32"/>
          <w:szCs w:val="32"/>
        </w:rPr>
      </w:pPr>
      <w:r>
        <w:rPr>
          <w:b/>
          <w:sz w:val="32"/>
          <w:szCs w:val="32"/>
        </w:rPr>
        <w:t>Biblische Impulse für Seelsorge</w:t>
      </w:r>
      <w:r w:rsidR="00D061AD">
        <w:rPr>
          <w:b/>
          <w:sz w:val="32"/>
          <w:szCs w:val="32"/>
        </w:rPr>
        <w:t xml:space="preserve"> im Sinne Jesu</w:t>
      </w:r>
    </w:p>
    <w:p w:rsidR="00AE2D3F" w:rsidRDefault="00AE2D3F"/>
    <w:p w:rsidR="00AE2D3F" w:rsidRPr="00905B49" w:rsidRDefault="005564AF">
      <w:r w:rsidRPr="00905B49">
        <w:t xml:space="preserve">Zuordnung zum Schwerpunkt </w:t>
      </w:r>
      <w:r w:rsidR="00905B49">
        <w:t>1</w:t>
      </w:r>
    </w:p>
    <w:p w:rsidR="00AE2D3F" w:rsidRDefault="00AE2D3F"/>
    <w:p w:rsidR="00905B49" w:rsidRPr="00905B49" w:rsidRDefault="00905B49">
      <w:pPr>
        <w:rPr>
          <w:b/>
        </w:rPr>
      </w:pPr>
      <w:r w:rsidRPr="00905B49">
        <w:rPr>
          <w:b/>
        </w:rPr>
        <w:t>Einsatzmöglichkeiten:</w:t>
      </w:r>
    </w:p>
    <w:p w:rsidR="0079502E" w:rsidRDefault="005564AF">
      <w:r>
        <w:t>Das Modul eignet sich als Einstieg für eine Klausur oder auch eine Gremie</w:t>
      </w:r>
      <w:r w:rsidR="00D061AD">
        <w:t>nsitzung zum Thema „Seelsorge“ J</w:t>
      </w:r>
      <w:r>
        <w:t>e nach zeitlichen Möglichkeiten kann das Modul erweitert werden, indem es um Auszüge aus dem Wort der deutschen Bischöfe ergänzt wird.</w:t>
      </w:r>
    </w:p>
    <w:p w:rsidR="00AE2D3F" w:rsidRDefault="00AE2D3F"/>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B8143F" w:rsidTr="00B8143F">
        <w:tc>
          <w:tcPr>
            <w:tcW w:w="9920" w:type="dxa"/>
            <w:gridSpan w:val="3"/>
          </w:tcPr>
          <w:p w:rsidR="00B8143F" w:rsidRPr="00B8143F" w:rsidRDefault="00B8143F" w:rsidP="00B8143F">
            <w:pPr>
              <w:rPr>
                <w:b/>
              </w:rPr>
            </w:pPr>
            <w:r w:rsidRPr="00B8143F">
              <w:rPr>
                <w:b/>
              </w:rPr>
              <w:t>Ziele</w:t>
            </w:r>
          </w:p>
          <w:p w:rsidR="00B8143F" w:rsidRPr="00D061AD" w:rsidRDefault="005564AF" w:rsidP="00B8143F">
            <w:pPr>
              <w:pStyle w:val="Listenabsatz"/>
              <w:numPr>
                <w:ilvl w:val="0"/>
                <w:numId w:val="2"/>
              </w:numPr>
            </w:pPr>
            <w:r w:rsidRPr="00D061AD">
              <w:t>Die biblischen Texte als Grundlage eines kirchlichen Seelsorgeverständnisses entdecken</w:t>
            </w:r>
          </w:p>
          <w:p w:rsidR="005564AF" w:rsidRPr="00C84468" w:rsidRDefault="005564AF" w:rsidP="00B8143F">
            <w:pPr>
              <w:pStyle w:val="Listenabsatz"/>
              <w:numPr>
                <w:ilvl w:val="0"/>
                <w:numId w:val="2"/>
              </w:numPr>
              <w:rPr>
                <w:b/>
              </w:rPr>
            </w:pPr>
            <w:r w:rsidRPr="00D061AD">
              <w:t>Sich von  biblischen Texten für eine zeitgemäße Seelsorge inspirieren lassen</w:t>
            </w:r>
          </w:p>
          <w:p w:rsidR="00C84468" w:rsidRPr="00B8143F" w:rsidRDefault="00C84468" w:rsidP="00B8143F">
            <w:pPr>
              <w:pStyle w:val="Listenabsatz"/>
              <w:numPr>
                <w:ilvl w:val="0"/>
                <w:numId w:val="2"/>
              </w:numPr>
              <w:rPr>
                <w:b/>
              </w:rPr>
            </w:pPr>
            <w:r>
              <w:t>Wahrnehmen, welche Entwicklung/ Veränderung dadurch in Gang kommen kann</w:t>
            </w:r>
          </w:p>
        </w:tc>
      </w:tr>
      <w:tr w:rsidR="00AE2D3F" w:rsidTr="00B8143F">
        <w:tc>
          <w:tcPr>
            <w:tcW w:w="9920" w:type="dxa"/>
            <w:gridSpan w:val="3"/>
          </w:tcPr>
          <w:p w:rsidR="00AE2D3F" w:rsidRPr="00AE2D3F" w:rsidRDefault="00AE2D3F" w:rsidP="00AE2D3F">
            <w:pPr>
              <w:rPr>
                <w:b/>
              </w:rPr>
            </w:pPr>
            <w:r w:rsidRPr="00AE2D3F">
              <w:rPr>
                <w:b/>
              </w:rPr>
              <w:t>Vorbereitung</w:t>
            </w:r>
          </w:p>
          <w:p w:rsidR="00B4370B" w:rsidRDefault="00B4370B" w:rsidP="00B4370B">
            <w:pPr>
              <w:pStyle w:val="Listenabsatz"/>
              <w:numPr>
                <w:ilvl w:val="0"/>
                <w:numId w:val="1"/>
              </w:numPr>
            </w:pPr>
            <w:r>
              <w:t xml:space="preserve">Bibelstellen werden auf A4 ausgedruckt und auf 4 </w:t>
            </w:r>
            <w:proofErr w:type="spellStart"/>
            <w:r>
              <w:t>Flipchartbögen</w:t>
            </w:r>
            <w:proofErr w:type="spellEnd"/>
            <w:r>
              <w:t xml:space="preserve"> geklebt, diese liegen im Raum auf Tischen verteilt</w:t>
            </w:r>
          </w:p>
          <w:p w:rsidR="00B4370B" w:rsidRDefault="00B4370B" w:rsidP="00B4370B">
            <w:pPr>
              <w:pStyle w:val="Listenabsatz"/>
              <w:numPr>
                <w:ilvl w:val="0"/>
                <w:numId w:val="1"/>
              </w:numPr>
            </w:pPr>
            <w:r>
              <w:t>Stifte zu jedem Plakat</w:t>
            </w:r>
          </w:p>
          <w:p w:rsidR="00AE2D3F" w:rsidRDefault="00AE2D3F"/>
        </w:tc>
      </w:tr>
      <w:tr w:rsidR="00AE2D3F" w:rsidTr="00B8143F">
        <w:tc>
          <w:tcPr>
            <w:tcW w:w="9920" w:type="dxa"/>
            <w:gridSpan w:val="3"/>
          </w:tcPr>
          <w:p w:rsidR="00AE2D3F" w:rsidRPr="00AE2D3F" w:rsidRDefault="00AE2D3F" w:rsidP="00AE2D3F">
            <w:pPr>
              <w:rPr>
                <w:b/>
              </w:rPr>
            </w:pPr>
            <w:r w:rsidRPr="00AE2D3F">
              <w:rPr>
                <w:b/>
              </w:rPr>
              <w:t>Material</w:t>
            </w:r>
          </w:p>
          <w:p w:rsidR="00B4370B" w:rsidRDefault="00613535" w:rsidP="00613535">
            <w:pPr>
              <w:pStyle w:val="Listenabsatz"/>
              <w:numPr>
                <w:ilvl w:val="0"/>
                <w:numId w:val="1"/>
              </w:numPr>
            </w:pPr>
            <w:r>
              <w:t xml:space="preserve">Bibelstellen </w:t>
            </w:r>
          </w:p>
          <w:p w:rsidR="00613535" w:rsidRDefault="00613535" w:rsidP="00613535">
            <w:pPr>
              <w:pStyle w:val="Listenabsatz"/>
              <w:numPr>
                <w:ilvl w:val="0"/>
                <w:numId w:val="1"/>
              </w:numPr>
            </w:pPr>
            <w:r>
              <w:t xml:space="preserve">Stifte </w:t>
            </w:r>
          </w:p>
          <w:p w:rsidR="00613535" w:rsidRDefault="00613535" w:rsidP="00613535">
            <w:pPr>
              <w:pStyle w:val="Listenabsatz"/>
              <w:numPr>
                <w:ilvl w:val="0"/>
                <w:numId w:val="1"/>
              </w:numPr>
            </w:pPr>
            <w:r>
              <w:t>Klangschale o.ä.</w:t>
            </w:r>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p>
          <w:p w:rsidR="00AE2D3F" w:rsidRDefault="00B4370B">
            <w:r>
              <w:t>60 Min</w:t>
            </w:r>
          </w:p>
        </w:tc>
      </w:tr>
      <w:tr w:rsidR="00B8143F" w:rsidTr="00B8143F">
        <w:tc>
          <w:tcPr>
            <w:tcW w:w="9920" w:type="dxa"/>
            <w:gridSpan w:val="3"/>
            <w:tcBorders>
              <w:left w:val="nil"/>
              <w:right w:val="nil"/>
            </w:tcBorders>
          </w:tcPr>
          <w:p w:rsidR="00B8143F" w:rsidRDefault="00B8143F"/>
        </w:tc>
      </w:tr>
      <w:tr w:rsidR="00AE2D3F" w:rsidRPr="00B8143F" w:rsidTr="00B8143F">
        <w:tc>
          <w:tcPr>
            <w:tcW w:w="1928" w:type="dxa"/>
          </w:tcPr>
          <w:p w:rsidR="00AE2D3F" w:rsidRPr="00B8143F" w:rsidRDefault="00B8143F" w:rsidP="00B8143F">
            <w:pPr>
              <w:jc w:val="center"/>
              <w:rPr>
                <w:b/>
              </w:rPr>
            </w:pPr>
            <w:r w:rsidRPr="00B8143F">
              <w:rPr>
                <w:b/>
              </w:rPr>
              <w:t>Zeit</w:t>
            </w:r>
          </w:p>
        </w:tc>
        <w:tc>
          <w:tcPr>
            <w:tcW w:w="4820" w:type="dxa"/>
          </w:tcPr>
          <w:p w:rsidR="00AE2D3F" w:rsidRPr="00B8143F" w:rsidRDefault="00B8143F" w:rsidP="00B8143F">
            <w:pPr>
              <w:jc w:val="center"/>
              <w:rPr>
                <w:b/>
              </w:rPr>
            </w:pPr>
            <w:r w:rsidRPr="00B8143F">
              <w:rPr>
                <w:b/>
              </w:rPr>
              <w:t>Inhalt</w:t>
            </w:r>
          </w:p>
        </w:tc>
        <w:tc>
          <w:tcPr>
            <w:tcW w:w="3172" w:type="dxa"/>
          </w:tcPr>
          <w:p w:rsidR="00AE2D3F" w:rsidRPr="00B8143F" w:rsidRDefault="00B8143F" w:rsidP="00B8143F">
            <w:pPr>
              <w:jc w:val="center"/>
              <w:rPr>
                <w:b/>
              </w:rPr>
            </w:pPr>
            <w:r w:rsidRPr="00B8143F">
              <w:rPr>
                <w:b/>
              </w:rPr>
              <w:t>Material etc.</w:t>
            </w:r>
          </w:p>
        </w:tc>
      </w:tr>
      <w:tr w:rsidR="00AE2D3F" w:rsidTr="00B8143F">
        <w:tc>
          <w:tcPr>
            <w:tcW w:w="1928" w:type="dxa"/>
          </w:tcPr>
          <w:p w:rsidR="00AE2D3F" w:rsidRDefault="00B4370B" w:rsidP="000137B4">
            <w:r>
              <w:t>5 Min</w:t>
            </w:r>
          </w:p>
        </w:tc>
        <w:tc>
          <w:tcPr>
            <w:tcW w:w="4820" w:type="dxa"/>
          </w:tcPr>
          <w:p w:rsidR="00AE2D3F" w:rsidRDefault="005564AF" w:rsidP="000137B4">
            <w:r>
              <w:t>Einstieg</w:t>
            </w:r>
            <w:r w:rsidR="00D061AD">
              <w:t>simpuls</w:t>
            </w:r>
          </w:p>
          <w:p w:rsidR="00613535" w:rsidRDefault="00613535" w:rsidP="000137B4">
            <w:r>
              <w:t>Zitat aus dem Wort der deutschen Bischöfe zur Seelsorge: „So sehr…“</w:t>
            </w:r>
          </w:p>
          <w:p w:rsidR="00613535" w:rsidRDefault="00D061AD" w:rsidP="00D061AD">
            <w:r>
              <w:t>Bibel gibt keine Rezepte aber ermöglicht Spurensuche, was Seelsorge  im Sinne Jesu bedeuten könnte</w:t>
            </w:r>
          </w:p>
        </w:tc>
        <w:tc>
          <w:tcPr>
            <w:tcW w:w="3172" w:type="dxa"/>
          </w:tcPr>
          <w:p w:rsidR="00AE2D3F" w:rsidRDefault="00AE2D3F" w:rsidP="000137B4"/>
        </w:tc>
      </w:tr>
      <w:tr w:rsidR="00AE2D3F" w:rsidTr="00B8143F">
        <w:tc>
          <w:tcPr>
            <w:tcW w:w="1928" w:type="dxa"/>
          </w:tcPr>
          <w:p w:rsidR="00AE2D3F" w:rsidRDefault="00613535" w:rsidP="000137B4">
            <w:r>
              <w:t>20 Min</w:t>
            </w:r>
          </w:p>
        </w:tc>
        <w:tc>
          <w:tcPr>
            <w:tcW w:w="4820" w:type="dxa"/>
          </w:tcPr>
          <w:p w:rsidR="00AE2D3F" w:rsidRDefault="00613535" w:rsidP="000137B4">
            <w:r>
              <w:t>Schreibgespräch</w:t>
            </w:r>
          </w:p>
          <w:p w:rsidR="00613535" w:rsidRDefault="00D061AD" w:rsidP="00613535">
            <w:pPr>
              <w:pStyle w:val="Listenabsatz"/>
              <w:numPr>
                <w:ilvl w:val="0"/>
                <w:numId w:val="1"/>
              </w:numPr>
            </w:pPr>
            <w:r>
              <w:t>Die Bibelstellen liegen auf Plakaten bereit (s.o.)</w:t>
            </w:r>
          </w:p>
          <w:p w:rsidR="00613535" w:rsidRDefault="00613535" w:rsidP="00613535">
            <w:pPr>
              <w:pStyle w:val="Listenabsatz"/>
              <w:numPr>
                <w:ilvl w:val="0"/>
                <w:numId w:val="1"/>
              </w:numPr>
            </w:pPr>
            <w:r>
              <w:t xml:space="preserve">Die </w:t>
            </w:r>
            <w:proofErr w:type="spellStart"/>
            <w:r>
              <w:t>TeilnehmerInnen</w:t>
            </w:r>
            <w:proofErr w:type="spellEnd"/>
            <w:r>
              <w:t xml:space="preserve"> wandern </w:t>
            </w:r>
            <w:r w:rsidR="00D061AD">
              <w:t xml:space="preserve">still </w:t>
            </w:r>
            <w:r>
              <w:t>die Plakate ab und schreiben ihre Gedanken dazu; diese können von anderen ( in wertschätzender Form) kommentiert</w:t>
            </w:r>
            <w:r w:rsidR="00D061AD">
              <w:t>, ergänzt</w:t>
            </w:r>
            <w:r>
              <w:t xml:space="preserve"> werden</w:t>
            </w:r>
          </w:p>
          <w:p w:rsidR="00613535" w:rsidRDefault="00613535" w:rsidP="00613535">
            <w:pPr>
              <w:ind w:left="360"/>
            </w:pPr>
          </w:p>
        </w:tc>
        <w:tc>
          <w:tcPr>
            <w:tcW w:w="3172" w:type="dxa"/>
          </w:tcPr>
          <w:p w:rsidR="00AE2D3F" w:rsidRDefault="00AE2D3F" w:rsidP="000137B4"/>
        </w:tc>
      </w:tr>
      <w:tr w:rsidR="00AE2D3F" w:rsidTr="00B8143F">
        <w:tc>
          <w:tcPr>
            <w:tcW w:w="1928" w:type="dxa"/>
          </w:tcPr>
          <w:p w:rsidR="00AE2D3F" w:rsidRDefault="00B4370B" w:rsidP="000137B4">
            <w:r>
              <w:t>20 Min</w:t>
            </w:r>
          </w:p>
        </w:tc>
        <w:tc>
          <w:tcPr>
            <w:tcW w:w="4820" w:type="dxa"/>
          </w:tcPr>
          <w:p w:rsidR="00AE2D3F" w:rsidRDefault="00613535" w:rsidP="000137B4">
            <w:r>
              <w:t>Austausch</w:t>
            </w:r>
          </w:p>
          <w:p w:rsidR="00613535" w:rsidRDefault="00613535" w:rsidP="000137B4">
            <w:r>
              <w:t>Variante A: im Plenum</w:t>
            </w:r>
          </w:p>
          <w:p w:rsidR="00613535" w:rsidRDefault="00613535" w:rsidP="00613535">
            <w:pPr>
              <w:pStyle w:val="Listenabsatz"/>
              <w:numPr>
                <w:ilvl w:val="0"/>
                <w:numId w:val="1"/>
              </w:numPr>
            </w:pPr>
            <w:r>
              <w:lastRenderedPageBreak/>
              <w:t xml:space="preserve">Welche Aspekte sind mir aus den biblischen Texten </w:t>
            </w:r>
            <w:r w:rsidR="00D061AD">
              <w:t xml:space="preserve">und der Auseinandersetzung damit </w:t>
            </w:r>
            <w:r>
              <w:t>für Seelsorge wichtig geworden</w:t>
            </w:r>
            <w:r w:rsidR="00D061AD">
              <w:t xml:space="preserve">. </w:t>
            </w:r>
          </w:p>
          <w:p w:rsidR="00613535" w:rsidRDefault="00613535" w:rsidP="00613535">
            <w:pPr>
              <w:pStyle w:val="Listenabsatz"/>
              <w:numPr>
                <w:ilvl w:val="0"/>
                <w:numId w:val="1"/>
              </w:numPr>
            </w:pPr>
            <w:r>
              <w:t>Was bedeutet das für unser seelsorgerliches Handeln in der Kirche?</w:t>
            </w:r>
          </w:p>
          <w:p w:rsidR="00C84468" w:rsidRDefault="00C84468" w:rsidP="00613535">
            <w:pPr>
              <w:pStyle w:val="Listenabsatz"/>
              <w:numPr>
                <w:ilvl w:val="0"/>
                <w:numId w:val="1"/>
              </w:numPr>
            </w:pPr>
            <w:r>
              <w:t>Wie würde das unsere Kirche am Ort / unseren kirchlichen Ort verändern? Was würde das in unserer Kirche am Ort/ in unserem kirchlichen Ort verändern?</w:t>
            </w:r>
          </w:p>
          <w:p w:rsidR="00EC22A5" w:rsidRDefault="00EC22A5" w:rsidP="00EC22A5">
            <w:pPr>
              <w:pStyle w:val="Listenabsatz"/>
            </w:pPr>
          </w:p>
          <w:p w:rsidR="00EC22A5" w:rsidRDefault="00EC22A5" w:rsidP="00EC22A5">
            <w:r>
              <w:t xml:space="preserve">Variante B: </w:t>
            </w:r>
            <w:r w:rsidR="00C84468">
              <w:t xml:space="preserve">erst </w:t>
            </w:r>
            <w:r>
              <w:t>in Kleingruppen</w:t>
            </w:r>
            <w:r w:rsidR="00C84468">
              <w:t xml:space="preserve">, </w:t>
            </w:r>
            <w:r w:rsidR="00D061AD">
              <w:t>dann Plenum</w:t>
            </w:r>
          </w:p>
          <w:p w:rsidR="00EC22A5" w:rsidRDefault="00D061AD" w:rsidP="00EC22A5">
            <w:pPr>
              <w:pStyle w:val="Listenabsatz"/>
              <w:numPr>
                <w:ilvl w:val="0"/>
                <w:numId w:val="1"/>
              </w:numPr>
            </w:pPr>
            <w:r>
              <w:t>D</w:t>
            </w:r>
            <w:r w:rsidR="00EC22A5">
              <w:t xml:space="preserve">ie </w:t>
            </w:r>
            <w:proofErr w:type="spellStart"/>
            <w:r w:rsidR="00EC22A5">
              <w:t>TeilnehmerInnen</w:t>
            </w:r>
            <w:proofErr w:type="spellEnd"/>
            <w:r w:rsidR="00EC22A5">
              <w:t xml:space="preserve"> tauschen sich zu den Fragen s.o. aus</w:t>
            </w:r>
          </w:p>
          <w:p w:rsidR="00EC22A5" w:rsidRDefault="00EC22A5" w:rsidP="00EC22A5">
            <w:pPr>
              <w:pStyle w:val="Listenabsatz"/>
              <w:numPr>
                <w:ilvl w:val="0"/>
                <w:numId w:val="1"/>
              </w:numPr>
            </w:pPr>
            <w:r>
              <w:t xml:space="preserve">Aus den Kleingruppen werden </w:t>
            </w:r>
            <w:r w:rsidR="00C84468">
              <w:t>zwei</w:t>
            </w:r>
            <w:r>
              <w:t xml:space="preserve"> wichtige Gedanken fürs Plenum eingebracht</w:t>
            </w:r>
          </w:p>
          <w:p w:rsidR="00EC22A5" w:rsidRDefault="00EC22A5" w:rsidP="00EC22A5"/>
          <w:p w:rsidR="00EC22A5" w:rsidRDefault="00EC22A5" w:rsidP="00EC22A5"/>
        </w:tc>
        <w:tc>
          <w:tcPr>
            <w:tcW w:w="3172" w:type="dxa"/>
          </w:tcPr>
          <w:p w:rsidR="00AE2D3F" w:rsidRDefault="00AE2D3F" w:rsidP="000137B4"/>
        </w:tc>
      </w:tr>
      <w:tr w:rsidR="00AE2D3F" w:rsidTr="00B8143F">
        <w:tc>
          <w:tcPr>
            <w:tcW w:w="1928" w:type="dxa"/>
          </w:tcPr>
          <w:p w:rsidR="00AE2D3F" w:rsidRDefault="00B4370B">
            <w:r>
              <w:lastRenderedPageBreak/>
              <w:t>10 Min</w:t>
            </w:r>
          </w:p>
        </w:tc>
        <w:tc>
          <w:tcPr>
            <w:tcW w:w="4820" w:type="dxa"/>
          </w:tcPr>
          <w:p w:rsidR="00AE2D3F" w:rsidRDefault="00EC22A5">
            <w:r>
              <w:t>Abschluss</w:t>
            </w:r>
          </w:p>
          <w:p w:rsidR="00EC22A5" w:rsidRDefault="00EC22A5">
            <w:proofErr w:type="spellStart"/>
            <w:r>
              <w:t>Mentimeter</w:t>
            </w:r>
            <w:proofErr w:type="spellEnd"/>
            <w:r>
              <w:t xml:space="preserve"> zu „Seelsorge heute in den Spuren Jesu“</w:t>
            </w:r>
          </w:p>
          <w:p w:rsidR="00EC22A5" w:rsidRDefault="00EC22A5" w:rsidP="00EC22A5">
            <w:pPr>
              <w:pStyle w:val="Listenabsatz"/>
              <w:numPr>
                <w:ilvl w:val="0"/>
                <w:numId w:val="1"/>
              </w:numPr>
            </w:pPr>
            <w:r>
              <w:t xml:space="preserve">Teilnehmer erstellen Wortwolke über </w:t>
            </w:r>
            <w:proofErr w:type="spellStart"/>
            <w:r>
              <w:t>Mentimeter</w:t>
            </w:r>
            <w:proofErr w:type="spellEnd"/>
            <w:r>
              <w:t xml:space="preserve"> (</w:t>
            </w:r>
            <w:proofErr w:type="spellStart"/>
            <w:r>
              <w:t>jedeR</w:t>
            </w:r>
            <w:proofErr w:type="spellEnd"/>
            <w:r>
              <w:t xml:space="preserve"> drei Begriffe)</w:t>
            </w:r>
          </w:p>
          <w:p w:rsidR="00B4370B" w:rsidRDefault="00B4370B" w:rsidP="00EC22A5">
            <w:pPr>
              <w:pStyle w:val="Listenabsatz"/>
              <w:numPr>
                <w:ilvl w:val="0"/>
                <w:numId w:val="1"/>
              </w:numPr>
            </w:pPr>
            <w:r>
              <w:t>Gemeinsames Wahrnehmen</w:t>
            </w:r>
          </w:p>
          <w:p w:rsidR="00EC22A5" w:rsidRDefault="00EC22A5" w:rsidP="00EC22A5">
            <w:pPr>
              <w:pStyle w:val="Listenabsatz"/>
              <w:numPr>
                <w:ilvl w:val="0"/>
                <w:numId w:val="1"/>
              </w:numPr>
            </w:pPr>
            <w:r>
              <w:t xml:space="preserve">Diese kann im Anschluss ausgedruckt werden und kann als Weiterführung für eine </w:t>
            </w:r>
            <w:r w:rsidR="00B56F8F">
              <w:t>weitere Auseinandersetzung  dienen, z.B. können einzelne pastorale Felder beleuchtet werden, inwieweit diese Qualitätsmerkmale gegeben sind</w:t>
            </w:r>
          </w:p>
          <w:p w:rsidR="00EC22A5" w:rsidRDefault="00EC22A5"/>
        </w:tc>
        <w:tc>
          <w:tcPr>
            <w:tcW w:w="3172" w:type="dxa"/>
          </w:tcPr>
          <w:p w:rsidR="00AE2D3F" w:rsidRDefault="00AE2D3F"/>
        </w:tc>
      </w:tr>
    </w:tbl>
    <w:p w:rsidR="00AE2D3F" w:rsidRDefault="00AE2D3F"/>
    <w:p w:rsidR="00613535" w:rsidRDefault="00D061AD">
      <w:r>
        <w:t>Einstiegsimpuls:</w:t>
      </w:r>
    </w:p>
    <w:p w:rsidR="00AE2D3F" w:rsidRDefault="00B4370B">
      <w:pPr>
        <w:rPr>
          <w:rFonts w:cs="Times New Roman"/>
          <w:color w:val="000000" w:themeColor="text1"/>
          <w:szCs w:val="24"/>
        </w:rPr>
      </w:pPr>
      <w:r>
        <w:rPr>
          <w:rFonts w:cs="Times New Roman"/>
          <w:color w:val="000000" w:themeColor="text1"/>
          <w:szCs w:val="24"/>
        </w:rPr>
        <w:t>„</w:t>
      </w:r>
      <w:r w:rsidR="00613535" w:rsidRPr="000F0ED1">
        <w:rPr>
          <w:rFonts w:cs="Times New Roman"/>
          <w:color w:val="000000" w:themeColor="text1"/>
          <w:szCs w:val="24"/>
        </w:rPr>
        <w:t xml:space="preserve">So sehr sich die Seelsorge von der Botschaft Jesu wie von der ganzen Heiligen Schrift inspirieren lassen soll, so wenig lassen sich aus der Bibel Rezepte ableiten, wie die Seelsorge im 21. Jahrhundert auszusehen hat. Zu unterschiedlich sind unsere gesellschaftlich-kulturelle Situation und die Lebenswelt Palästinas vor 2.000 Jahren, in der Jesus von Nazareth das Evangelium verkündet hat. Trotz dieser </w:t>
      </w:r>
      <w:r w:rsidR="00613535" w:rsidRPr="000F0ED1">
        <w:rPr>
          <w:color w:val="000000" w:themeColor="text1"/>
        </w:rPr>
        <w:t xml:space="preserve">historischen, kulturellen und gesellschaftlichen </w:t>
      </w:r>
      <w:r w:rsidR="00613535" w:rsidRPr="000F0ED1">
        <w:rPr>
          <w:rFonts w:cs="Times New Roman"/>
          <w:color w:val="000000" w:themeColor="text1"/>
          <w:szCs w:val="24"/>
        </w:rPr>
        <w:t>Differenz steht christliche Seelsorge unter dem Zuspruch und Anspruch, im Geist Jesu zu handeln.</w:t>
      </w:r>
      <w:r w:rsidR="00613535">
        <w:rPr>
          <w:rFonts w:cs="Times New Roman"/>
          <w:color w:val="000000" w:themeColor="text1"/>
          <w:szCs w:val="24"/>
        </w:rPr>
        <w:t xml:space="preserve"> </w:t>
      </w:r>
      <w:r w:rsidR="00C84468">
        <w:rPr>
          <w:rFonts w:cs="Times New Roman"/>
          <w:color w:val="000000" w:themeColor="text1"/>
          <w:szCs w:val="24"/>
        </w:rPr>
        <w:t xml:space="preserve">“ </w:t>
      </w:r>
      <w:r w:rsidR="00613535">
        <w:rPr>
          <w:rFonts w:cs="Times New Roman"/>
          <w:color w:val="000000" w:themeColor="text1"/>
          <w:szCs w:val="24"/>
        </w:rPr>
        <w:t>(In der Seelsorge schlägt das Herz der Kirche, 17)</w:t>
      </w:r>
    </w:p>
    <w:p w:rsidR="00D061AD" w:rsidRDefault="00D061AD">
      <w:pPr>
        <w:rPr>
          <w:rFonts w:cs="Times New Roman"/>
          <w:color w:val="000000" w:themeColor="text1"/>
          <w:szCs w:val="24"/>
        </w:rPr>
      </w:pPr>
    </w:p>
    <w:p w:rsidR="00D061AD" w:rsidRDefault="00B56F8F">
      <w:pPr>
        <w:rPr>
          <w:rFonts w:cs="Times New Roman"/>
          <w:color w:val="000000" w:themeColor="text1"/>
          <w:szCs w:val="24"/>
        </w:rPr>
      </w:pPr>
      <w:proofErr w:type="spellStart"/>
      <w:r>
        <w:rPr>
          <w:rFonts w:cs="Times New Roman"/>
          <w:color w:val="000000" w:themeColor="text1"/>
          <w:szCs w:val="24"/>
        </w:rPr>
        <w:t>Mt</w:t>
      </w:r>
      <w:bookmarkStart w:id="0" w:name="_GoBack"/>
      <w:bookmarkEnd w:id="0"/>
      <w:proofErr w:type="spellEnd"/>
      <w:r>
        <w:rPr>
          <w:rFonts w:cs="Times New Roman"/>
          <w:color w:val="000000" w:themeColor="text1"/>
          <w:szCs w:val="24"/>
        </w:rPr>
        <w:t xml:space="preserve"> 28,20</w:t>
      </w:r>
    </w:p>
    <w:p w:rsidR="00B56F8F" w:rsidRDefault="00B56F8F">
      <w:pPr>
        <w:rPr>
          <w:rFonts w:cs="Times New Roman"/>
          <w:color w:val="000000" w:themeColor="text1"/>
          <w:szCs w:val="24"/>
        </w:rPr>
      </w:pPr>
      <w:r>
        <w:rPr>
          <w:rFonts w:cs="Times New Roman"/>
          <w:color w:val="000000" w:themeColor="text1"/>
          <w:szCs w:val="24"/>
        </w:rPr>
        <w:t xml:space="preserve">Seid </w:t>
      </w:r>
      <w:proofErr w:type="spellStart"/>
      <w:r>
        <w:rPr>
          <w:rFonts w:cs="Times New Roman"/>
          <w:color w:val="000000" w:themeColor="text1"/>
          <w:szCs w:val="24"/>
        </w:rPr>
        <w:t>gewiß</w:t>
      </w:r>
      <w:proofErr w:type="spellEnd"/>
      <w:r>
        <w:rPr>
          <w:rFonts w:cs="Times New Roman"/>
          <w:color w:val="000000" w:themeColor="text1"/>
          <w:szCs w:val="24"/>
        </w:rPr>
        <w:t>: Ich bin bei euch alle Tage bis zum Ende der Welt</w:t>
      </w:r>
    </w:p>
    <w:p w:rsidR="00B56F8F" w:rsidRDefault="00B56F8F">
      <w:pPr>
        <w:rPr>
          <w:rFonts w:cs="Times New Roman"/>
          <w:color w:val="000000" w:themeColor="text1"/>
          <w:szCs w:val="24"/>
        </w:rPr>
      </w:pPr>
      <w:proofErr w:type="spellStart"/>
      <w:r>
        <w:rPr>
          <w:rFonts w:cs="Times New Roman"/>
          <w:color w:val="000000" w:themeColor="text1"/>
          <w:szCs w:val="24"/>
        </w:rPr>
        <w:t>Mk</w:t>
      </w:r>
      <w:proofErr w:type="spellEnd"/>
      <w:r>
        <w:rPr>
          <w:rFonts w:cs="Times New Roman"/>
          <w:color w:val="000000" w:themeColor="text1"/>
          <w:szCs w:val="24"/>
        </w:rPr>
        <w:t xml:space="preserve"> 1,15</w:t>
      </w:r>
    </w:p>
    <w:p w:rsidR="00B56F8F" w:rsidRDefault="00B56F8F">
      <w:pPr>
        <w:rPr>
          <w:rFonts w:cs="Times New Roman"/>
          <w:color w:val="000000" w:themeColor="text1"/>
          <w:szCs w:val="24"/>
        </w:rPr>
      </w:pPr>
      <w:r>
        <w:rPr>
          <w:rFonts w:cs="Times New Roman"/>
          <w:color w:val="000000" w:themeColor="text1"/>
          <w:szCs w:val="24"/>
        </w:rPr>
        <w:t>Die Zeit ist erfüllt, das Reich Gottes ist nahe</w:t>
      </w:r>
    </w:p>
    <w:p w:rsidR="00B56F8F" w:rsidRDefault="00B56F8F">
      <w:pPr>
        <w:rPr>
          <w:rFonts w:cs="Times New Roman"/>
          <w:color w:val="000000" w:themeColor="text1"/>
          <w:szCs w:val="24"/>
        </w:rPr>
      </w:pPr>
      <w:proofErr w:type="spellStart"/>
      <w:r>
        <w:rPr>
          <w:rFonts w:cs="Times New Roman"/>
          <w:color w:val="000000" w:themeColor="text1"/>
          <w:szCs w:val="24"/>
        </w:rPr>
        <w:t>Lk</w:t>
      </w:r>
      <w:proofErr w:type="spellEnd"/>
      <w:r>
        <w:rPr>
          <w:rFonts w:cs="Times New Roman"/>
          <w:color w:val="000000" w:themeColor="text1"/>
          <w:szCs w:val="24"/>
        </w:rPr>
        <w:t xml:space="preserve"> 10, 30 – 37</w:t>
      </w:r>
    </w:p>
    <w:p w:rsidR="00B56F8F" w:rsidRDefault="00B56F8F">
      <w:pPr>
        <w:rPr>
          <w:rFonts w:cs="Times New Roman"/>
          <w:color w:val="000000" w:themeColor="text1"/>
          <w:szCs w:val="24"/>
        </w:rPr>
      </w:pPr>
      <w:r>
        <w:rPr>
          <w:rFonts w:cs="Times New Roman"/>
          <w:color w:val="000000" w:themeColor="text1"/>
          <w:szCs w:val="24"/>
        </w:rPr>
        <w:t>(das Gleichnis vom barmherzigen Samariter)</w:t>
      </w:r>
    </w:p>
    <w:p w:rsidR="00B56F8F" w:rsidRDefault="00B56F8F">
      <w:pPr>
        <w:rPr>
          <w:rFonts w:cs="Times New Roman"/>
          <w:color w:val="000000" w:themeColor="text1"/>
          <w:szCs w:val="24"/>
        </w:rPr>
      </w:pPr>
      <w:proofErr w:type="spellStart"/>
      <w:r>
        <w:rPr>
          <w:rFonts w:cs="Times New Roman"/>
          <w:color w:val="000000" w:themeColor="text1"/>
          <w:szCs w:val="24"/>
        </w:rPr>
        <w:t>Lk</w:t>
      </w:r>
      <w:proofErr w:type="spellEnd"/>
      <w:r>
        <w:rPr>
          <w:rFonts w:cs="Times New Roman"/>
          <w:color w:val="000000" w:themeColor="text1"/>
          <w:szCs w:val="24"/>
        </w:rPr>
        <w:t xml:space="preserve"> 18, </w:t>
      </w:r>
      <w:r w:rsidR="0005497C">
        <w:rPr>
          <w:rFonts w:cs="Times New Roman"/>
          <w:color w:val="000000" w:themeColor="text1"/>
          <w:szCs w:val="24"/>
        </w:rPr>
        <w:t>35</w:t>
      </w:r>
      <w:r>
        <w:rPr>
          <w:rFonts w:cs="Times New Roman"/>
          <w:color w:val="000000" w:themeColor="text1"/>
          <w:szCs w:val="24"/>
        </w:rPr>
        <w:t xml:space="preserve"> – 41</w:t>
      </w:r>
    </w:p>
    <w:p w:rsidR="00B56F8F" w:rsidRDefault="00B4370B">
      <w:r>
        <w:rPr>
          <w:rFonts w:cs="Times New Roman"/>
          <w:color w:val="000000" w:themeColor="text1"/>
          <w:szCs w:val="24"/>
        </w:rPr>
        <w:t>(</w:t>
      </w:r>
      <w:r w:rsidR="0005497C">
        <w:rPr>
          <w:rFonts w:cs="Times New Roman"/>
          <w:color w:val="000000" w:themeColor="text1"/>
          <w:szCs w:val="24"/>
        </w:rPr>
        <w:t>Heilung eines Blinden</w:t>
      </w:r>
      <w:r>
        <w:rPr>
          <w:rFonts w:cs="Times New Roman"/>
          <w:color w:val="000000" w:themeColor="text1"/>
          <w:szCs w:val="24"/>
        </w:rPr>
        <w:t>)</w:t>
      </w:r>
    </w:p>
    <w:sectPr w:rsidR="00B56F8F" w:rsidSect="009A0165">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DF" w:rsidRDefault="00B53CDF" w:rsidP="00B8143F">
      <w:pPr>
        <w:spacing w:line="240" w:lineRule="auto"/>
      </w:pPr>
      <w:r>
        <w:separator/>
      </w:r>
    </w:p>
  </w:endnote>
  <w:endnote w:type="continuationSeparator" w:id="0">
    <w:p w:rsidR="00B53CDF" w:rsidRDefault="00B53CDF"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3C3380">
          <w:rPr>
            <w:noProof/>
          </w:rPr>
          <w:t>2</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DF" w:rsidRDefault="00B53CDF" w:rsidP="00B8143F">
      <w:pPr>
        <w:spacing w:line="240" w:lineRule="auto"/>
      </w:pPr>
      <w:r>
        <w:separator/>
      </w:r>
    </w:p>
  </w:footnote>
  <w:footnote w:type="continuationSeparator" w:id="0">
    <w:p w:rsidR="00B53CDF" w:rsidRDefault="00B53CDF"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5497C"/>
    <w:rsid w:val="00074CDD"/>
    <w:rsid w:val="000D680C"/>
    <w:rsid w:val="000F7A94"/>
    <w:rsid w:val="00130685"/>
    <w:rsid w:val="00170F68"/>
    <w:rsid w:val="0018479D"/>
    <w:rsid w:val="001B62E4"/>
    <w:rsid w:val="001F0008"/>
    <w:rsid w:val="001F2CA8"/>
    <w:rsid w:val="00320CA5"/>
    <w:rsid w:val="003C3380"/>
    <w:rsid w:val="005355BA"/>
    <w:rsid w:val="005564AF"/>
    <w:rsid w:val="00613535"/>
    <w:rsid w:val="00627323"/>
    <w:rsid w:val="00634F04"/>
    <w:rsid w:val="006814D6"/>
    <w:rsid w:val="007620BC"/>
    <w:rsid w:val="0079502E"/>
    <w:rsid w:val="0080520B"/>
    <w:rsid w:val="008B0367"/>
    <w:rsid w:val="00905B49"/>
    <w:rsid w:val="00922719"/>
    <w:rsid w:val="00985DAC"/>
    <w:rsid w:val="009A0165"/>
    <w:rsid w:val="009B19A4"/>
    <w:rsid w:val="00AA3250"/>
    <w:rsid w:val="00AE2D3F"/>
    <w:rsid w:val="00B4370B"/>
    <w:rsid w:val="00B53CDF"/>
    <w:rsid w:val="00B544FC"/>
    <w:rsid w:val="00B56F8F"/>
    <w:rsid w:val="00B8143F"/>
    <w:rsid w:val="00C03306"/>
    <w:rsid w:val="00C3631F"/>
    <w:rsid w:val="00C84468"/>
    <w:rsid w:val="00D061AD"/>
    <w:rsid w:val="00D103C4"/>
    <w:rsid w:val="00D870F7"/>
    <w:rsid w:val="00E11D29"/>
    <w:rsid w:val="00E4290F"/>
    <w:rsid w:val="00E97C7F"/>
    <w:rsid w:val="00EC22A5"/>
    <w:rsid w:val="00F218D1"/>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BA39E4E0.dotm</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5</cp:revision>
  <cp:lastPrinted>2022-09-22T08:44:00Z</cp:lastPrinted>
  <dcterms:created xsi:type="dcterms:W3CDTF">2022-09-28T06:48:00Z</dcterms:created>
  <dcterms:modified xsi:type="dcterms:W3CDTF">2022-12-06T15:45:00Z</dcterms:modified>
</cp:coreProperties>
</file>